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24" w:rsidRPr="009B5389" w:rsidRDefault="003A0124" w:rsidP="003A0124">
      <w:pPr>
        <w:pStyle w:val="a3"/>
        <w:spacing w:before="0" w:beforeAutospacing="0" w:after="160" w:afterAutospacing="0"/>
        <w:jc w:val="center"/>
        <w:rPr>
          <w:b/>
          <w:lang w:val="uk-UA"/>
        </w:rPr>
      </w:pPr>
      <w:r w:rsidRPr="009B5389">
        <w:rPr>
          <w:b/>
          <w:lang w:val="uk-UA"/>
        </w:rPr>
        <w:t>СЄВЄРОДОНЕЦЬКИЙ БАГАТОПРОФІЛЬНИЙ ЛІЦЕЙ</w:t>
      </w:r>
    </w:p>
    <w:p w:rsidR="003A0124" w:rsidRPr="009B5389" w:rsidRDefault="003A0124" w:rsidP="003A0124">
      <w:pPr>
        <w:pStyle w:val="a3"/>
        <w:spacing w:before="0" w:beforeAutospacing="0" w:after="160" w:afterAutospacing="0"/>
        <w:jc w:val="center"/>
        <w:rPr>
          <w:b/>
          <w:lang w:val="uk-UA"/>
        </w:rPr>
      </w:pPr>
      <w:r w:rsidRPr="009B5389">
        <w:rPr>
          <w:b/>
          <w:lang w:val="uk-UA"/>
        </w:rPr>
        <w:t>СЄВЄРОДОНЕЦЬКОЇ МІСЬКОЇ РАДИ ЛУГАНСЬКОЇ ОБЛАСТІ</w:t>
      </w:r>
    </w:p>
    <w:p w:rsidR="003A0124" w:rsidRPr="003A0124" w:rsidRDefault="003A0124" w:rsidP="007D22C5">
      <w:pPr>
        <w:pStyle w:val="a3"/>
        <w:spacing w:before="0" w:beforeAutospacing="0" w:after="160" w:afterAutospacing="0"/>
      </w:pP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1172AF">
        <w:rPr>
          <w:color w:val="000000"/>
          <w:lang w:val="uk-UA"/>
        </w:rPr>
        <w:tab/>
      </w:r>
      <w:r w:rsidRPr="003A0124">
        <w:rPr>
          <w:color w:val="000000"/>
        </w:rPr>
        <w:t xml:space="preserve">              </w:t>
      </w:r>
    </w:p>
    <w:p w:rsidR="003A0124" w:rsidRPr="003A0124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822A0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 </w:t>
      </w:r>
      <w:proofErr w:type="spellStart"/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A0124" w:rsidRPr="003A0124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822A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</w:t>
      </w:r>
      <w:proofErr w:type="gramStart"/>
      <w:r w:rsidR="00822A03">
        <w:rPr>
          <w:rFonts w:ascii="Times New Roman" w:eastAsia="Times New Roman" w:hAnsi="Times New Roman" w:cs="Times New Roman"/>
          <w:color w:val="000000"/>
          <w:lang w:eastAsia="ru-RU"/>
        </w:rPr>
        <w:t>до наказу</w:t>
      </w:r>
      <w:proofErr w:type="gramEnd"/>
      <w:r w:rsidR="00822A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228BC">
        <w:rPr>
          <w:rFonts w:ascii="Times New Roman" w:eastAsia="Times New Roman" w:hAnsi="Times New Roman" w:cs="Times New Roman"/>
          <w:color w:val="000000"/>
          <w:lang w:val="uk-UA" w:eastAsia="ru-RU"/>
        </w:rPr>
        <w:t>ліцею</w:t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22A0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</w:t>
      </w:r>
    </w:p>
    <w:p w:rsidR="003A0124" w:rsidRPr="003A0124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2A0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від </w:t>
      </w:r>
      <w:proofErr w:type="gramStart"/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8228BC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822A03">
        <w:rPr>
          <w:rFonts w:ascii="Times New Roman" w:eastAsia="Times New Roman" w:hAnsi="Times New Roman" w:cs="Times New Roman"/>
          <w:color w:val="000000"/>
          <w:lang w:eastAsia="ru-RU"/>
        </w:rPr>
        <w:t>.04</w:t>
      </w:r>
      <w:r w:rsidR="008228BC">
        <w:rPr>
          <w:rFonts w:ascii="Times New Roman" w:eastAsia="Times New Roman" w:hAnsi="Times New Roman" w:cs="Times New Roman"/>
          <w:color w:val="000000"/>
          <w:lang w:eastAsia="ru-RU"/>
        </w:rPr>
        <w:t>.2020  №</w:t>
      </w:r>
      <w:proofErr w:type="gramEnd"/>
      <w:r w:rsidR="008228BC">
        <w:rPr>
          <w:rFonts w:ascii="Times New Roman" w:eastAsia="Times New Roman" w:hAnsi="Times New Roman" w:cs="Times New Roman"/>
          <w:color w:val="000000"/>
          <w:lang w:val="uk-UA" w:eastAsia="ru-RU"/>
        </w:rPr>
        <w:t>29</w:t>
      </w:r>
      <w:r w:rsidR="008228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A0124" w:rsidRPr="003A0124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24" w:rsidRPr="003A0124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A0124" w:rsidRPr="003A0124" w:rsidRDefault="003A0124" w:rsidP="003A01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спрямованих</w:t>
      </w:r>
      <w:proofErr w:type="spellEnd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запобігання</w:t>
      </w:r>
      <w:proofErr w:type="spellEnd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протидію</w:t>
      </w:r>
      <w:proofErr w:type="spellEnd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булін</w:t>
      </w:r>
      <w:r w:rsidR="0082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</w:t>
      </w:r>
      <w:proofErr w:type="spellEnd"/>
      <w:r w:rsidR="0082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82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цькуванню</w:t>
      </w:r>
      <w:proofErr w:type="spellEnd"/>
      <w:r w:rsidR="0082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в </w:t>
      </w:r>
      <w:proofErr w:type="spellStart"/>
      <w:r w:rsidR="0082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ліцеї</w:t>
      </w:r>
      <w:proofErr w:type="spellEnd"/>
    </w:p>
    <w:p w:rsidR="003A0124" w:rsidRPr="003A0124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56"/>
        <w:gridCol w:w="2023"/>
        <w:gridCol w:w="3254"/>
      </w:tblGrid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проведення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Відповідальні</w:t>
            </w:r>
            <w:proofErr w:type="spellEnd"/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8228BC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спрямованих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 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протидію</w:t>
            </w:r>
            <w:proofErr w:type="spellEnd"/>
            <w:proofErr w:type="gram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ювенальної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ССД, СМЦСССДМ, 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Default="008228BC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</w:t>
            </w:r>
            <w:r w:rsidR="007D2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228BC" w:rsidRPr="003A0124" w:rsidRDefault="008228BC" w:rsidP="007D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соціальний педагог 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proofErr w:type="gram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Комісією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Порядком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затвердженим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МОН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28.12.2019 № 1664 «Про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закладах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 w:rsidRPr="003A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BC" w:rsidRDefault="008228BC" w:rsidP="0082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ліцею,</w:t>
            </w:r>
          </w:p>
          <w:p w:rsidR="008228BC" w:rsidRDefault="008228BC" w:rsidP="0082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ВР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1429F7" w:rsidP="007D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соціальний педагог 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наради</w:t>
            </w:r>
            <w:proofErr w:type="spellEnd"/>
            <w:proofErr w:type="gram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рад, рад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рад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стали,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підозрюють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отримали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F7" w:rsidRDefault="001429F7" w:rsidP="0014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ВР,</w:t>
            </w:r>
          </w:p>
          <w:p w:rsidR="003A0124" w:rsidRPr="003A0124" w:rsidRDefault="001429F7" w:rsidP="007D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соціальний педагог 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консиліуми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стали,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підозрюють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отримали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F7" w:rsidRDefault="001429F7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Засупники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дирктора</w:t>
            </w:r>
            <w:proofErr w:type="spellEnd"/>
            <w:r w:rsidR="007D2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 паралелями), </w:t>
            </w:r>
          </w:p>
          <w:p w:rsidR="003A0124" w:rsidRPr="003A0124" w:rsidRDefault="001429F7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 8-11 класів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стали,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підозрюють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вчинення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отримали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F7" w:rsidRDefault="001429F7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8-11класів,</w:t>
            </w:r>
            <w:r w:rsidR="007D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</w:t>
            </w:r>
            <w:r w:rsidR="007D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</w:p>
          <w:p w:rsidR="003A0124" w:rsidRPr="003A0124" w:rsidRDefault="001429F7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педагог-організатор</w:t>
            </w:r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1429F7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йняти участь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тижні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урок «Стоп </w:t>
            </w:r>
            <w:proofErr w:type="spellStart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1429F7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F7" w:rsidRDefault="001429F7" w:rsidP="0014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ВР,</w:t>
            </w:r>
          </w:p>
          <w:p w:rsidR="001429F7" w:rsidRDefault="007D22C5" w:rsidP="0014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1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педагог, </w:t>
            </w:r>
            <w:proofErr w:type="spellStart"/>
            <w:r w:rsidR="001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="001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1429F7" w:rsidRPr="003A0124" w:rsidRDefault="001429F7" w:rsidP="0014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педагог-організатор</w:t>
            </w: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веб-сайтах,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куточках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при</w:t>
            </w:r>
            <w:proofErr w:type="gram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правил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плану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(форма заяви,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процедуру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порядку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КУпАП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неповідомлення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7A" w:rsidRDefault="007D22C5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аступник директора з НВР,</w:t>
            </w:r>
          </w:p>
          <w:p w:rsidR="00411E7A" w:rsidRPr="007D22C5" w:rsidRDefault="007D22C5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пост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загального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їдальні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роздягальні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подвір’я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приміщеннями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7A" w:rsidRDefault="00411E7A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ліцею (під час адміністративного чергування), завгосп</w:t>
            </w:r>
          </w:p>
          <w:p w:rsidR="00411E7A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їдальнях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коридорах,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роздягальнях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подвір’ях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ліцею (під час адміністративного чергування)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небезпечними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сприятливими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ліцею (під час адміністративного чергування), завгосп</w:t>
            </w:r>
          </w:p>
          <w:p w:rsidR="00411E7A" w:rsidRPr="003A0124" w:rsidRDefault="00411E7A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інформаційно-просвітницьку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зустрічі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уроки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флеш-моби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перегляди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соціумі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ненасильницьких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конструктивного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емоціями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дитиною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Впроваджувати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недискримінації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співробітництва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взаємоповаги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наскрізні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для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враховуючи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порозуміння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медіації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Залучати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роботи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спільноти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7A" w:rsidRDefault="007D22C5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аступник директора з ВР,</w:t>
            </w:r>
          </w:p>
          <w:p w:rsidR="00411E7A" w:rsidRDefault="007D22C5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педагог, </w:t>
            </w:r>
            <w:proofErr w:type="spellStart"/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411E7A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11E7A" w:rsidRPr="00411E7A" w:rsidRDefault="00411E7A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ерівники</w:t>
            </w:r>
            <w:proofErr w:type="spellEnd"/>
            <w:r w:rsidR="003A0124"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8-11 класів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соціально-психологічний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стали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свідками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7A" w:rsidRDefault="00411E7A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3A0124" w:rsidRPr="003A0124" w:rsidRDefault="003A0124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веб-сайтах,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дошках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куточках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116111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0800500225(з 12.00 до 16.00);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Гаряча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булінгу:116000;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Гаряча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насильству:116123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0800500335;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з прав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0800501720;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прав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04425576754;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Центр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0800213103;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України:102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7A" w:rsidRDefault="007D22C5" w:rsidP="004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аступник директора з НВР,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1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bookmarkStart w:id="0" w:name="_GoBack"/>
            <w:bookmarkEnd w:id="0"/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причин та умов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ймовірних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протиправної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насильницької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закладах</w:t>
            </w:r>
            <w:proofErr w:type="gram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411E7A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терміну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взаємоінформування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закладами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відділом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управлінням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ССД,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правоохоронними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органами, СМЦСССДМ 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керівники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психологів</w:t>
            </w:r>
            <w:proofErr w:type="spellEnd"/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F463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онлайн-курсу «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закладах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реєстрацією</w:t>
            </w:r>
            <w:proofErr w:type="spellEnd"/>
          </w:p>
          <w:p w:rsidR="003A0124" w:rsidRPr="003A0124" w:rsidRDefault="003A0124" w:rsidP="003A012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(https://prometheus.org.ua/course)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F463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психолого-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семінари-практикуми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емоційної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напруги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вигорання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стресових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станів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психологів</w:t>
            </w:r>
            <w:proofErr w:type="spellEnd"/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F463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соціометричних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психологів</w:t>
            </w:r>
            <w:proofErr w:type="spellEnd"/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F463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варіативної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складової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передбачити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факультатив (курс за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гідність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серпень-вересень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124" w:rsidRPr="003A0124" w:rsidTr="001429F7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F463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до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щорічного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компетентностей і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24" w:rsidRPr="003A0124" w:rsidRDefault="003A0124" w:rsidP="003A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</w:tbl>
    <w:p w:rsidR="003A0124" w:rsidRPr="003A0124" w:rsidRDefault="003A0124" w:rsidP="003A0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 </w:t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0124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</w:p>
    <w:p w:rsidR="003A0124" w:rsidRPr="003A0124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EA" w:rsidRDefault="009C65EA"/>
    <w:sectPr w:rsidR="009C65EA" w:rsidSect="007D2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BD4"/>
    <w:multiLevelType w:val="hybridMultilevel"/>
    <w:tmpl w:val="5C02308A"/>
    <w:lvl w:ilvl="0" w:tplc="9C3E6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4"/>
    <w:rsid w:val="001429F7"/>
    <w:rsid w:val="003A0124"/>
    <w:rsid w:val="003F4634"/>
    <w:rsid w:val="00411E7A"/>
    <w:rsid w:val="004E7DE4"/>
    <w:rsid w:val="00643865"/>
    <w:rsid w:val="007D22C5"/>
    <w:rsid w:val="008228BC"/>
    <w:rsid w:val="00822A03"/>
    <w:rsid w:val="009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9CDC"/>
  <w15:chartTrackingRefBased/>
  <w15:docId w15:val="{33616CCF-52DC-46BE-915E-8615FD4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224,baiaagaaboqcaaadxugaaaxu6aaaaaaaaaaaaaaaaaaaaaaaaaaaaaaaaaaaaaaaaaaaaaaaaaaaaaaaaaaaaaaaaaaaaaaaaaaaaaaaaaaaaaaaaaaaaaaaaaaaaaaaaaaaaaaaaaaaaaaaaaaaaaaaaaaaaaaaaaaaaaaaaaaaaaaaaaaaaaaaaaaaaaaaaaaaaaaaaaaaaaaaaaaaaaaaaaaaaaaaaaaaaaa"/>
    <w:basedOn w:val="a"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2">
    <w:name w:val="2012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a0"/>
    <w:rsid w:val="003A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dcterms:created xsi:type="dcterms:W3CDTF">2020-04-10T12:03:00Z</dcterms:created>
  <dcterms:modified xsi:type="dcterms:W3CDTF">2020-04-10T12:07:00Z</dcterms:modified>
</cp:coreProperties>
</file>