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01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Положення</w:t>
      </w:r>
    </w:p>
    <w:p w:rsidR="008F4E01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про проведення  турніру</w:t>
      </w:r>
    </w:p>
    <w:p w:rsidR="0045638B" w:rsidRDefault="0045638B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юних математиків пам’яті І.І. Антипова</w:t>
      </w:r>
    </w:p>
    <w:p w:rsidR="008F4E01" w:rsidRPr="008F4E01" w:rsidRDefault="008F4E01" w:rsidP="008F4E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</w:p>
    <w:p w:rsidR="0045638B" w:rsidRPr="008F4E01" w:rsidRDefault="0045638B" w:rsidP="009F59D7">
      <w:pPr>
        <w:numPr>
          <w:ilvl w:val="0"/>
          <w:numId w:val="12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Математичний турнір пам’яті І.І. Антипова є одним з напрямків розвитку творчої особистості, заохочує учнів до поглиблення знань з математики.</w:t>
      </w:r>
    </w:p>
    <w:p w:rsidR="0045638B" w:rsidRDefault="0045638B" w:rsidP="009F59D7">
      <w:pPr>
        <w:numPr>
          <w:ilvl w:val="0"/>
          <w:numId w:val="12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Турнір привчає учнів до систематичної наукової діяльності з математики.</w:t>
      </w:r>
    </w:p>
    <w:p w:rsidR="0045638B" w:rsidRPr="000D6721" w:rsidRDefault="0045638B" w:rsidP="003B5230">
      <w:pPr>
        <w:pStyle w:val="a5"/>
        <w:numPr>
          <w:ilvl w:val="0"/>
          <w:numId w:val="12"/>
        </w:numPr>
        <w:spacing w:after="180" w:line="240" w:lineRule="auto"/>
        <w:ind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0D672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Основні задачі турніру:</w:t>
      </w:r>
    </w:p>
    <w:p w:rsidR="0045638B" w:rsidRPr="003B5230" w:rsidRDefault="0045638B" w:rsidP="003B5230">
      <w:pPr>
        <w:pStyle w:val="a5"/>
        <w:numPr>
          <w:ilvl w:val="1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пропаганда математичних знань;</w:t>
      </w:r>
    </w:p>
    <w:p w:rsidR="0045638B" w:rsidRPr="003B5230" w:rsidRDefault="0045638B" w:rsidP="003B5230">
      <w:pPr>
        <w:pStyle w:val="a5"/>
        <w:numPr>
          <w:ilvl w:val="1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виявлення та розвиток юних обдарувань;</w:t>
      </w:r>
    </w:p>
    <w:p w:rsidR="0045638B" w:rsidRPr="003B5230" w:rsidRDefault="0045638B" w:rsidP="003B5230">
      <w:pPr>
        <w:pStyle w:val="a5"/>
        <w:numPr>
          <w:ilvl w:val="0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Організатори турніру пам’яті І.І. Антипова в своїй діяльності керуються Національною доктриною розвитку освіти України у ХХІ столітті, 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</w:t>
      </w:r>
      <w:r w:rsidR="008F4E01"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аконом України про повну загальну середню освіту, 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програмою “Творча обдарованість”, Статутом </w:t>
      </w:r>
      <w:proofErr w:type="spellStart"/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Сєвєродонецького</w:t>
      </w:r>
      <w:proofErr w:type="spellEnd"/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Pr="003B5230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багатопрофільного ліцею.</w:t>
      </w:r>
    </w:p>
    <w:p w:rsidR="0045638B" w:rsidRPr="008F4E01" w:rsidRDefault="0045638B" w:rsidP="008F4E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ІІ.  Структура турніру</w:t>
      </w:r>
    </w:p>
    <w:p w:rsidR="0045638B" w:rsidRPr="008F4E01" w:rsidRDefault="0045638B" w:rsidP="009F59D7">
      <w:pPr>
        <w:numPr>
          <w:ilvl w:val="0"/>
          <w:numId w:val="2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Турнір проводиться щорічно 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в два етапи </w:t>
      </w:r>
      <w:r w:rsidR="0023334E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(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заочний тур та очний тур</w:t>
      </w:r>
      <w:r w:rsidR="0023334E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)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для учнів шкіл, ліцеїв, гімназій, колегіумів.</w:t>
      </w:r>
    </w:p>
    <w:p w:rsidR="008F4E01" w:rsidRPr="009F59D7" w:rsidRDefault="008F4E01" w:rsidP="009F59D7">
      <w:pPr>
        <w:numPr>
          <w:ilvl w:val="0"/>
          <w:numId w:val="2"/>
        </w:numPr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</w:pP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Тимчасово, за умови карантину, турнір проводиться в один тур, тільки он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</w:rPr>
        <w:t>-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лайн, через платформу </w:t>
      </w:r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en-US"/>
        </w:rPr>
        <w:t>G</w:t>
      </w:r>
      <w:proofErr w:type="spellStart"/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oogle</w:t>
      </w:r>
      <w:proofErr w:type="spellEnd"/>
      <w:r w:rsidR="009F59D7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en-US"/>
        </w:rPr>
        <w:t>C</w:t>
      </w:r>
      <w:proofErr w:type="spellStart"/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lassroom</w:t>
      </w:r>
      <w:proofErr w:type="spellEnd"/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з обмеженням часу та дотриманням академічної доброчесності.</w:t>
      </w:r>
    </w:p>
    <w:p w:rsidR="0045638B" w:rsidRPr="008F4E01" w:rsidRDefault="0045638B" w:rsidP="008F4E01">
      <w:pPr>
        <w:numPr>
          <w:ilvl w:val="0"/>
          <w:numId w:val="2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На турнірі визначається особиста першість учнів.</w:t>
      </w:r>
    </w:p>
    <w:p w:rsidR="0045638B" w:rsidRPr="009F59D7" w:rsidRDefault="0045638B" w:rsidP="009F59D7">
      <w:pPr>
        <w:numPr>
          <w:ilvl w:val="0"/>
          <w:numId w:val="2"/>
        </w:numPr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</w:pP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Турнір передбачає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виконання завдань </w:t>
      </w:r>
      <w:r w:rsidR="0023334E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з математики за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7 – 10 клас за 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участ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і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учнів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5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– 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10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 xml:space="preserve"> класів</w:t>
      </w:r>
      <w:r w:rsidR="008F4E01"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, які можуть виконувати завдання за клас, не нижче, ніж вони навчаються</w:t>
      </w:r>
      <w:r w:rsidRPr="009F59D7">
        <w:rPr>
          <w:rFonts w:ascii="Georgia" w:eastAsia="Times New Roman" w:hAnsi="Georgia" w:cs="Times New Roman"/>
          <w:b/>
          <w:i/>
          <w:color w:val="444444"/>
          <w:sz w:val="25"/>
          <w:szCs w:val="25"/>
          <w:lang w:val="uk-UA"/>
        </w:rPr>
        <w:t>.</w:t>
      </w:r>
    </w:p>
    <w:p w:rsidR="0045638B" w:rsidRPr="008F4E01" w:rsidRDefault="0045638B" w:rsidP="008F4E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ІІІ.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Права учасників турніру</w:t>
      </w:r>
    </w:p>
    <w:p w:rsidR="0045638B" w:rsidRPr="008F4E01" w:rsidRDefault="0045638B" w:rsidP="008F4E01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Призери турніру нагороджуються грамотами та цінними подарунками.</w:t>
      </w:r>
    </w:p>
    <w:p w:rsidR="0045638B" w:rsidRPr="008F4E01" w:rsidRDefault="0045638B" w:rsidP="008F4E01">
      <w:pPr>
        <w:numPr>
          <w:ilvl w:val="0"/>
          <w:numId w:val="3"/>
        </w:numPr>
        <w:spacing w:after="180" w:line="240" w:lineRule="auto"/>
        <w:ind w:left="528"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Переможці турніру можуть бути зараховані </w:t>
      </w:r>
      <w:r w:rsidR="008F4E01"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до 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багатопрофільного ліцею (математичний профіль) на пільгових умовах.</w:t>
      </w:r>
    </w:p>
    <w:p w:rsidR="0045638B" w:rsidRDefault="0045638B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Прізвища переможців публікують у місцевій пресі, </w:t>
      </w:r>
      <w:r w:rsidR="009F59D7" w:rsidRP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 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а також розміщають на сайті ліцею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:rsidR="0023334E" w:rsidRDefault="0023334E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Усі учасники турніру можуть ознайомитися з правильними розв’язками запропонованих завдань після закінчення турніру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.</w:t>
      </w:r>
    </w:p>
    <w:p w:rsidR="0023334E" w:rsidRDefault="0023334E" w:rsidP="009F59D7">
      <w:pPr>
        <w:numPr>
          <w:ilvl w:val="0"/>
          <w:numId w:val="3"/>
        </w:numPr>
        <w:tabs>
          <w:tab w:val="left" w:pos="9355"/>
        </w:tabs>
        <w:spacing w:after="180" w:line="240" w:lineRule="auto"/>
        <w:ind w:left="528"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 xml:space="preserve">Учасники мають право на ознайомлення зі своїми результатами та апеляцію своїх результатів у разі </w:t>
      </w:r>
      <w:r w:rsidR="00C041DB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незгоди з ними.</w:t>
      </w:r>
    </w:p>
    <w:p w:rsidR="0023334E" w:rsidRPr="008F4E01" w:rsidRDefault="0023334E" w:rsidP="009F59D7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І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en-US"/>
        </w:rPr>
        <w:t>V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Обов’язки 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учасників турніру</w:t>
      </w:r>
    </w:p>
    <w:p w:rsidR="0023334E" w:rsidRPr="0016448C" w:rsidRDefault="0023334E" w:rsidP="009F59D7">
      <w:pPr>
        <w:pStyle w:val="a5"/>
        <w:numPr>
          <w:ilvl w:val="0"/>
          <w:numId w:val="6"/>
        </w:numPr>
        <w:tabs>
          <w:tab w:val="left" w:pos="9355"/>
        </w:tabs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Надання повної та достовірної інформації, необхідної для ідентифікації учас</w:t>
      </w:r>
      <w:r w:rsidR="009F59D7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ника під час виконання роботи (</w:t>
      </w:r>
      <w:r w:rsidRP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прізвище, ім’я, по батькові, електронна адреса</w:t>
      </w:r>
      <w:r w:rsidR="009F59D7" w:rsidRP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, клас і навчальний заклад, в якому навчається</w:t>
      </w: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).</w:t>
      </w:r>
    </w:p>
    <w:p w:rsidR="0023334E" w:rsidRPr="0016448C" w:rsidRDefault="0023334E" w:rsidP="009F59D7">
      <w:pPr>
        <w:pStyle w:val="a5"/>
        <w:numPr>
          <w:ilvl w:val="0"/>
          <w:numId w:val="6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16448C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Коректна поведінка під час турніру та при листуванні з організаторами турніру.</w:t>
      </w:r>
    </w:p>
    <w:p w:rsidR="0023334E" w:rsidRPr="003B5230" w:rsidRDefault="0023334E" w:rsidP="009F59D7">
      <w:pPr>
        <w:pStyle w:val="a5"/>
        <w:numPr>
          <w:ilvl w:val="0"/>
          <w:numId w:val="6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Академічна доброчесність під час виконання завдань турніру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</w:t>
      </w:r>
      <w:r w:rsidR="009F59D7" w:rsidRPr="009F59D7">
        <w:rPr>
          <w:rFonts w:ascii="Georgia" w:eastAsia="Times New Roman" w:hAnsi="Georgia" w:cs="Times New Roman"/>
          <w:i/>
          <w:color w:val="FF0000"/>
          <w:sz w:val="25"/>
          <w:szCs w:val="25"/>
          <w:lang w:val="uk-UA"/>
        </w:rPr>
        <w:t>(самостійність виконання завдань, недопущення плагіату)</w:t>
      </w:r>
      <w:r w:rsidR="003B5230" w:rsidRPr="009F59D7">
        <w:rPr>
          <w:rFonts w:ascii="Georgia" w:eastAsia="Times New Roman" w:hAnsi="Georgia" w:cs="Times New Roman"/>
          <w:i/>
          <w:color w:val="FF0000"/>
          <w:sz w:val="25"/>
          <w:szCs w:val="25"/>
          <w:lang w:val="uk-UA"/>
        </w:rPr>
        <w:t>.</w:t>
      </w:r>
    </w:p>
    <w:p w:rsidR="0016448C" w:rsidRPr="008F4E01" w:rsidRDefault="0016448C" w:rsidP="009F59D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b/>
          <w:bCs/>
          <w:color w:val="444444"/>
          <w:sz w:val="25"/>
          <w:lang w:val="en-US"/>
        </w:rPr>
        <w:lastRenderedPageBreak/>
        <w:t>V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.</w:t>
      </w:r>
      <w:r w:rsidRPr="008F4E0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 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 Права</w:t>
      </w:r>
      <w:r w:rsidR="009F59D7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</w:t>
      </w:r>
      <w:r w:rsidR="00C041DB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та обов’язки </w:t>
      </w:r>
      <w:r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>організаторів</w:t>
      </w:r>
      <w:r w:rsidRPr="008F4E01">
        <w:rPr>
          <w:rFonts w:ascii="Georgia" w:eastAsia="Times New Roman" w:hAnsi="Georgia" w:cs="Times New Roman"/>
          <w:b/>
          <w:bCs/>
          <w:color w:val="444444"/>
          <w:sz w:val="25"/>
          <w:lang w:val="uk-UA"/>
        </w:rPr>
        <w:t xml:space="preserve"> турніру</w:t>
      </w:r>
    </w:p>
    <w:p w:rsidR="00C041DB" w:rsidRDefault="00C041DB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Протягом тижня перевірити усі роботи учасників та оголосити результати.</w:t>
      </w:r>
    </w:p>
    <w:p w:rsidR="00C041DB" w:rsidRDefault="00C041DB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Забезпечити учасникам можливість апеляції власних результатів протягом трьох днів після оголошення.</w:t>
      </w:r>
    </w:p>
    <w:p w:rsidR="0016448C" w:rsidRPr="000D6721" w:rsidRDefault="0016448C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  <w:r w:rsidRPr="000D6721"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  <w:t>В разі некоректної поведінки учасника турніру припинити листування та спілкування з ним.</w:t>
      </w:r>
    </w:p>
    <w:p w:rsidR="0016448C" w:rsidRPr="003B5230" w:rsidRDefault="0016448C" w:rsidP="009F59D7">
      <w:pPr>
        <w:pStyle w:val="a5"/>
        <w:numPr>
          <w:ilvl w:val="0"/>
          <w:numId w:val="10"/>
        </w:numPr>
        <w:spacing w:after="180" w:line="240" w:lineRule="auto"/>
        <w:ind w:right="-1"/>
        <w:jc w:val="both"/>
        <w:textAlignment w:val="baseline"/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</w:pP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У разі виявлення проявів академічної </w:t>
      </w:r>
      <w:proofErr w:type="spellStart"/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недоброчесності</w:t>
      </w:r>
      <w:proofErr w:type="spellEnd"/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, анулювати результати учасника чи групи учасників, не з’ясовуючи пр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ичин, хто з них в цьому винен</w:t>
      </w:r>
      <w:r w:rsidR="00B91F5E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. </w:t>
      </w:r>
      <w:r w:rsidR="00B91F5E" w:rsidRPr="00B91F5E">
        <w:rPr>
          <w:rFonts w:ascii="Georgia" w:eastAsia="Times New Roman" w:hAnsi="Georgia" w:cs="Times New Roman"/>
          <w:color w:val="444444"/>
          <w:sz w:val="28"/>
          <w:szCs w:val="28"/>
          <w:lang w:val="uk-UA"/>
        </w:rPr>
        <w:t xml:space="preserve">Рішення </w:t>
      </w:r>
      <w:r w:rsidR="00B91F5E" w:rsidRPr="00B91F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позбавлення учня призових місць на </w:t>
      </w:r>
      <w:r w:rsidR="00B91F5E" w:rsidRPr="00B91F5E">
        <w:rPr>
          <w:rFonts w:ascii="Times New Roman" w:eastAsia="Times New Roman" w:hAnsi="Times New Roman" w:cs="Times New Roman"/>
          <w:sz w:val="28"/>
          <w:szCs w:val="28"/>
          <w:lang w:val="uk-UA"/>
        </w:rPr>
        <w:t>турнірі Приймається оргкомітетом турніру</w:t>
      </w:r>
      <w:r w:rsidR="00B91F5E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</w:t>
      </w:r>
      <w:r w:rsidR="009F59D7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 (З</w:t>
      </w:r>
      <w:r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 xml:space="preserve">акон України про повну середню освіту, стаття </w:t>
      </w:r>
      <w:r w:rsidR="000D6721" w:rsidRPr="003B5230">
        <w:rPr>
          <w:rFonts w:ascii="Georgia" w:eastAsia="Times New Roman" w:hAnsi="Georgia" w:cs="Times New Roman"/>
          <w:i/>
          <w:color w:val="444444"/>
          <w:sz w:val="25"/>
          <w:szCs w:val="25"/>
          <w:lang w:val="uk-UA"/>
        </w:rPr>
        <w:t>43)</w:t>
      </w:r>
    </w:p>
    <w:p w:rsidR="00B91F5E" w:rsidRDefault="00B91F5E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91F5E" w:rsidRDefault="00B91F5E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ДЛЯ ДОВІДКИ</w:t>
      </w:r>
      <w:bookmarkStart w:id="0" w:name="_GoBack"/>
      <w:bookmarkEnd w:id="0"/>
    </w:p>
    <w:p w:rsidR="000D6721" w:rsidRPr="000D6721" w:rsidRDefault="000D6721" w:rsidP="000D672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Стаття 43. 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академічної доброчесності у сфері загальної середньої освіти</w:t>
      </w:r>
    </w:p>
    <w:p w:rsidR="000D6721" w:rsidRPr="000D6721" w:rsidRDefault="000D6721" w:rsidP="000D6721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717"/>
      <w:bookmarkEnd w:id="1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Кожен учасник освітнього процесу зобов’язаний дотримуватися академічної доброчесності.</w:t>
      </w:r>
      <w:bookmarkStart w:id="2" w:name="n718"/>
      <w:bookmarkStart w:id="3" w:name="n719"/>
      <w:bookmarkEnd w:id="2"/>
      <w:bookmarkEnd w:id="3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та інші педагогічні працівники закладу освіти забезпечують дотримання принципів академічної доброчесності відповідно до своєї компетенції.</w:t>
      </w:r>
    </w:p>
    <w:p w:rsidR="000D6721" w:rsidRPr="000D6721" w:rsidRDefault="000D6721" w:rsidP="000D6721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720"/>
      <w:bookmarkEnd w:id="4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Порушеннями академічної доброчесності у системі загальної середньої освіти є академічний плагіат, фабрикація, фальсифікація, списування, обман, хабарництво, необ’єктивне оцінювання, </w:t>
      </w:r>
      <w:bookmarkStart w:id="5" w:name="n721"/>
      <w:bookmarkEnd w:id="5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педагогічними працівниками та іншими особами допомоги учням під час проходження ними підсумкового оцінювання (семестрового та річного), державної підсумкової атестації, зовнішнього незалежного оцінювання, не передбаченої умовами та/або процедурами їх проходження;</w:t>
      </w:r>
      <w:bookmarkStart w:id="6" w:name="n722"/>
      <w:bookmarkEnd w:id="6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учнем під час контрольних заходів непередбачених допоміжних матеріалів та/або технічних засобів;</w:t>
      </w:r>
      <w:bookmarkStart w:id="7" w:name="n723"/>
      <w:bookmarkEnd w:id="7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проходження процедури оцінювання результатів навчання замість інших осіб;</w:t>
      </w:r>
    </w:p>
    <w:p w:rsidR="000D6721" w:rsidRPr="000D6721" w:rsidRDefault="000D6721" w:rsidP="000D6721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724"/>
      <w:bookmarkStart w:id="9" w:name="n725"/>
      <w:bookmarkStart w:id="10" w:name="n729"/>
      <w:bookmarkStart w:id="11" w:name="n733"/>
      <w:bookmarkEnd w:id="8"/>
      <w:bookmarkEnd w:id="9"/>
      <w:bookmarkEnd w:id="10"/>
      <w:bookmarkEnd w:id="11"/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За порушення академічної доброчесності до учня може бути застосовано такі види академічної відповідальності:</w:t>
      </w:r>
      <w:bookmarkStart w:id="12" w:name="n734"/>
      <w:bookmarkStart w:id="13" w:name="n738"/>
      <w:bookmarkEnd w:id="12"/>
      <w:bookmarkEnd w:id="13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позбавлення отриманих із порушеннями академічної доброчесності академічної стипендії, призових місць на учнівських змаганнях, турнірах, олімпіадах, конкурсах.</w:t>
      </w:r>
      <w:bookmarkStart w:id="14" w:name="n740"/>
      <w:bookmarkStart w:id="15" w:name="n741"/>
      <w:bookmarkEnd w:id="14"/>
      <w:bookmarkEnd w:id="15"/>
      <w:r w:rsidR="009F59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D672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про позбавлення учня академічної стипендії, призових місць на учнівських змаганнях, турнірах, олімпіадах, конкурсах, отриманих із порушеннями академічної доброчесності, приймає орган (посадова особа), який їх надав (присвоїв) у порядку, визначеному законодавством.</w:t>
      </w:r>
    </w:p>
    <w:p w:rsidR="000D6721" w:rsidRPr="0016448C" w:rsidRDefault="000D6721" w:rsidP="0016448C">
      <w:pPr>
        <w:spacing w:after="180" w:line="240" w:lineRule="auto"/>
        <w:ind w:right="528"/>
        <w:jc w:val="both"/>
        <w:textAlignment w:val="baseline"/>
        <w:rPr>
          <w:rFonts w:ascii="Georgia" w:eastAsia="Times New Roman" w:hAnsi="Georgia" w:cs="Times New Roman"/>
          <w:color w:val="444444"/>
          <w:sz w:val="25"/>
          <w:szCs w:val="25"/>
          <w:lang w:val="uk-UA"/>
        </w:rPr>
      </w:pPr>
    </w:p>
    <w:p w:rsidR="00A201BC" w:rsidRPr="008F4E01" w:rsidRDefault="00A201BC" w:rsidP="008F4E01">
      <w:pPr>
        <w:jc w:val="both"/>
        <w:rPr>
          <w:lang w:val="uk-UA"/>
        </w:rPr>
      </w:pPr>
    </w:p>
    <w:sectPr w:rsidR="00A201BC" w:rsidRPr="008F4E01" w:rsidSect="0090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966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F36"/>
    <w:multiLevelType w:val="multilevel"/>
    <w:tmpl w:val="9B48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A5DE9"/>
    <w:multiLevelType w:val="hybridMultilevel"/>
    <w:tmpl w:val="1890C094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E7D"/>
    <w:multiLevelType w:val="hybridMultilevel"/>
    <w:tmpl w:val="9D601918"/>
    <w:lvl w:ilvl="0" w:tplc="0764EFA2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 w15:restartNumberingAfterBreak="0">
    <w:nsid w:val="1AD05D69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44EEC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803"/>
    <w:multiLevelType w:val="hybridMultilevel"/>
    <w:tmpl w:val="C76E5C5A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0A6"/>
    <w:multiLevelType w:val="hybridMultilevel"/>
    <w:tmpl w:val="CFEC44E6"/>
    <w:lvl w:ilvl="0" w:tplc="0764E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BEC4E6B2"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942CA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1449A"/>
    <w:multiLevelType w:val="multilevel"/>
    <w:tmpl w:val="25C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92F5B"/>
    <w:multiLevelType w:val="hybridMultilevel"/>
    <w:tmpl w:val="00762854"/>
    <w:lvl w:ilvl="0" w:tplc="B7001CC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5EEB"/>
    <w:multiLevelType w:val="multilevel"/>
    <w:tmpl w:val="4CD4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B"/>
    <w:rsid w:val="000D6721"/>
    <w:rsid w:val="0016448C"/>
    <w:rsid w:val="0023334E"/>
    <w:rsid w:val="003B5230"/>
    <w:rsid w:val="0045638B"/>
    <w:rsid w:val="008F4E01"/>
    <w:rsid w:val="00905F6E"/>
    <w:rsid w:val="009F59D7"/>
    <w:rsid w:val="00A201BC"/>
    <w:rsid w:val="00B91F5E"/>
    <w:rsid w:val="00C0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45C"/>
  <w15:docId w15:val="{5C7C489C-2EA5-42CF-B18E-6EC7610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38B"/>
    <w:rPr>
      <w:b/>
      <w:bCs/>
    </w:rPr>
  </w:style>
  <w:style w:type="paragraph" w:styleId="a5">
    <w:name w:val="List Paragraph"/>
    <w:basedOn w:val="a"/>
    <w:uiPriority w:val="34"/>
    <w:qFormat/>
    <w:rsid w:val="001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2</cp:revision>
  <dcterms:created xsi:type="dcterms:W3CDTF">2021-02-11T09:57:00Z</dcterms:created>
  <dcterms:modified xsi:type="dcterms:W3CDTF">2021-02-11T09:57:00Z</dcterms:modified>
</cp:coreProperties>
</file>