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BF5D" w14:textId="77777777" w:rsidR="008F4E01" w:rsidRDefault="0045638B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</w:pPr>
      <w:bookmarkStart w:id="0" w:name="_GoBack"/>
      <w:bookmarkEnd w:id="0"/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Положення</w:t>
      </w:r>
    </w:p>
    <w:p w14:paraId="2188012B" w14:textId="77777777" w:rsidR="008F4E01" w:rsidRDefault="0045638B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про проведення  турніру</w:t>
      </w:r>
    </w:p>
    <w:p w14:paraId="79A192CD" w14:textId="50806962" w:rsidR="0045638B" w:rsidRDefault="0045638B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юних математиків</w:t>
      </w:r>
      <w:r w:rsidR="00CC379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 та фізиків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пам’яті І.І. Антипова</w:t>
      </w:r>
    </w:p>
    <w:p w14:paraId="4689CDEA" w14:textId="77777777" w:rsidR="008F4E01" w:rsidRDefault="008F4E01" w:rsidP="00BE285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</w:p>
    <w:p w14:paraId="2FAD6532" w14:textId="77777777" w:rsidR="00BE2859" w:rsidRPr="008F4E01" w:rsidRDefault="00BE2859" w:rsidP="00BE285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І.  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Загальні положення</w:t>
      </w:r>
    </w:p>
    <w:p w14:paraId="2A100B2D" w14:textId="12EFBD4C" w:rsidR="0045638B" w:rsidRPr="008F4E01" w:rsidRDefault="00CC3791" w:rsidP="009F59D7">
      <w:pPr>
        <w:numPr>
          <w:ilvl w:val="0"/>
          <w:numId w:val="12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Т</w:t>
      </w:r>
      <w:r w:rsidR="0045638B"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урнір пам’яті І.І. Антипова є одним з напрямків розвитку творчої особистості, заохочує учнів до поглиблення знань з математики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та фізики</w:t>
      </w:r>
      <w:r w:rsidR="0045638B"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14:paraId="44899949" w14:textId="6D835E08" w:rsidR="0045638B" w:rsidRDefault="0045638B" w:rsidP="009F59D7">
      <w:pPr>
        <w:numPr>
          <w:ilvl w:val="0"/>
          <w:numId w:val="12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Турнір привчає учнів до систематичної наукової діяльності з </w:t>
      </w:r>
      <w:r w:rsidR="00CC379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предметів фізико-математичного циклу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14:paraId="6DCA5A7C" w14:textId="77777777" w:rsidR="0045638B" w:rsidRPr="000D6721" w:rsidRDefault="0045638B" w:rsidP="003B5230">
      <w:pPr>
        <w:pStyle w:val="Odsekzoznamu"/>
        <w:numPr>
          <w:ilvl w:val="0"/>
          <w:numId w:val="12"/>
        </w:numPr>
        <w:spacing w:after="180" w:line="240" w:lineRule="auto"/>
        <w:ind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0D672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Основні задачі турніру:</w:t>
      </w:r>
    </w:p>
    <w:p w14:paraId="06FE4681" w14:textId="0C096B75" w:rsidR="0045638B" w:rsidRPr="003B5230" w:rsidRDefault="0045638B" w:rsidP="003B5230">
      <w:pPr>
        <w:pStyle w:val="Odsekzoznamu"/>
        <w:numPr>
          <w:ilvl w:val="1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пропаганда </w:t>
      </w:r>
      <w:r w:rsidR="00CC379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точних</w:t>
      </w: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  <w:r w:rsidR="00CC379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предметів</w:t>
      </w: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;</w:t>
      </w:r>
    </w:p>
    <w:p w14:paraId="63E3754A" w14:textId="77777777" w:rsidR="0045638B" w:rsidRPr="003B5230" w:rsidRDefault="0045638B" w:rsidP="003B5230">
      <w:pPr>
        <w:pStyle w:val="Odsekzoznamu"/>
        <w:numPr>
          <w:ilvl w:val="1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виявлення та розвиток юних обдарувань;</w:t>
      </w:r>
    </w:p>
    <w:p w14:paraId="28177B17" w14:textId="733E7999" w:rsidR="0045638B" w:rsidRPr="003B5230" w:rsidRDefault="0045638B" w:rsidP="003B5230">
      <w:pPr>
        <w:pStyle w:val="Odsekzoznamu"/>
        <w:numPr>
          <w:ilvl w:val="0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Організатори турніру пам’яті І.І. Антипова в своїй діяльності керуються Національною доктриною розвитку освіти України у ХХІ столітті, 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З</w:t>
      </w:r>
      <w:r w:rsidR="008F4E01"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аконом України про повну загальну середню освіту, </w:t>
      </w: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програмою “Творча обдарованість”, </w:t>
      </w:r>
      <w:r w:rsidR="00BE2859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с</w:t>
      </w: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татутом</w:t>
      </w:r>
      <w:r w:rsidR="000B5CD3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  <w:r w:rsidR="00CC379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Ліцею багатопрофільного міста 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Сєвєродонецьк</w:t>
      </w:r>
      <w:r w:rsidR="00CC379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а</w:t>
      </w: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14:paraId="27D9E7B7" w14:textId="77777777" w:rsidR="0045638B" w:rsidRPr="008F4E01" w:rsidRDefault="0045638B" w:rsidP="008F4E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ІІ.  Структура турніру</w:t>
      </w:r>
    </w:p>
    <w:p w14:paraId="6D9B2075" w14:textId="4D775CFF" w:rsidR="0045638B" w:rsidRPr="008F4E01" w:rsidRDefault="0045638B" w:rsidP="009F59D7">
      <w:pPr>
        <w:numPr>
          <w:ilvl w:val="0"/>
          <w:numId w:val="2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Турнір проводиться щорічно</w:t>
      </w:r>
      <w:r w:rsidR="00D95452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для учнів шкіл, ліцеїв, гімназій, колегіумів</w:t>
      </w:r>
      <w:r w:rsidR="00D95452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  <w:r w:rsidR="00D95452" w:rsidRPr="00D95452">
        <w:rPr>
          <w:rFonts w:ascii="Georgia" w:eastAsia="Times New Roman" w:hAnsi="Georgia" w:cs="Times New Roman"/>
          <w:b/>
          <w:bCs/>
          <w:i/>
          <w:iCs/>
          <w:color w:val="444444"/>
          <w:sz w:val="25"/>
          <w:szCs w:val="25"/>
          <w:lang w:val="uk-UA"/>
        </w:rPr>
        <w:t>у форматі, максимально наближеному до безпекового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14:paraId="7339258E" w14:textId="756F9900" w:rsidR="008F4E01" w:rsidRPr="009F59D7" w:rsidRDefault="00CC3791" w:rsidP="009F59D7">
      <w:pPr>
        <w:numPr>
          <w:ilvl w:val="0"/>
          <w:numId w:val="2"/>
        </w:numPr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В умовах воєнного часу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, </w:t>
      </w: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враховуючи небезпекову ситуацію в країні</w:t>
      </w:r>
      <w:r w:rsidR="00D95452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та проблеми зі світлом</w:t>
      </w: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, </w:t>
      </w:r>
      <w:r w:rsidR="00D95452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а </w:t>
      </w: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та</w:t>
      </w:r>
      <w:r w:rsidR="00D95452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кож</w:t>
      </w: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з метою мінімізувати 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р</w:t>
      </w: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изики для усіх учасників, 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тур</w:t>
      </w: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нір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</w:t>
      </w:r>
      <w:r w:rsidR="00D95452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2023 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буде проведено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он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лайн, </w:t>
      </w:r>
      <w:r w:rsidR="00D95452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протягом двох діб</w:t>
      </w:r>
      <w:r w:rsidR="005348DC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,</w:t>
      </w:r>
      <w:r w:rsidR="00D95452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через платформу 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en-US"/>
        </w:rPr>
        <w:t>G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oogle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en-US"/>
        </w:rPr>
        <w:t>C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lassroom з дотриманням академічної доброчесності.</w:t>
      </w:r>
    </w:p>
    <w:p w14:paraId="7262BEEE" w14:textId="5B9001C7" w:rsidR="0045638B" w:rsidRPr="008F4E01" w:rsidRDefault="0045638B" w:rsidP="008F4E01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На турнірі визначається особиста першість учнів</w:t>
      </w:r>
      <w:r w:rsidR="00D95452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окремо з фізики, та окремо з математики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14:paraId="5143A486" w14:textId="4E98F037" w:rsidR="0045638B" w:rsidRPr="009F59D7" w:rsidRDefault="0045638B" w:rsidP="009F59D7">
      <w:pPr>
        <w:numPr>
          <w:ilvl w:val="0"/>
          <w:numId w:val="2"/>
        </w:numPr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</w:pP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Турнір передбачає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виконання завдань </w:t>
      </w:r>
      <w:r w:rsidR="00CC3791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окремо </w:t>
      </w:r>
      <w:r w:rsidR="0023334E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з математики </w:t>
      </w:r>
      <w:r w:rsidR="00CC3791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та з фізики </w:t>
      </w:r>
      <w:r w:rsidR="0023334E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за 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8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– 1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1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клас за 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участ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і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учнів 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7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–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1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1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класів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, які можуть виконувати завдання за клас, не нижче, ніж вони навчаються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.</w:t>
      </w:r>
    </w:p>
    <w:p w14:paraId="2B0B9075" w14:textId="77777777" w:rsidR="0045638B" w:rsidRPr="008F4E01" w:rsidRDefault="0045638B" w:rsidP="008F4E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ІІІ.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 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Права учасників турніру</w:t>
      </w:r>
    </w:p>
    <w:p w14:paraId="4D567497" w14:textId="6F47FB34" w:rsidR="00D95452" w:rsidRDefault="00D95452" w:rsidP="008F4E01">
      <w:pPr>
        <w:numPr>
          <w:ilvl w:val="0"/>
          <w:numId w:val="3"/>
        </w:numPr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Кожний учасник протягом відведеного на турнір часу може тільки </w:t>
      </w:r>
      <w:r w:rsidRPr="00D95452">
        <w:rPr>
          <w:rFonts w:ascii="Georgia" w:eastAsia="Times New Roman" w:hAnsi="Georgia" w:cs="Times New Roman"/>
          <w:b/>
          <w:bCs/>
          <w:color w:val="444444"/>
          <w:sz w:val="25"/>
          <w:szCs w:val="25"/>
          <w:lang w:val="uk-UA"/>
        </w:rPr>
        <w:t>ОДИН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раз виконати та надіслат</w:t>
      </w:r>
      <w:r w:rsidR="00AB5A54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и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на перевірку роботу з фізики </w:t>
      </w:r>
      <w:r w:rsidRPr="0019270A">
        <w:rPr>
          <w:rFonts w:ascii="Georgia" w:eastAsia="Times New Roman" w:hAnsi="Georgia" w:cs="Times New Roman"/>
          <w:b/>
          <w:bCs/>
          <w:i/>
          <w:iCs/>
          <w:color w:val="444444"/>
          <w:sz w:val="25"/>
          <w:szCs w:val="25"/>
          <w:lang w:val="uk-UA"/>
        </w:rPr>
        <w:t>та/або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математики.</w:t>
      </w:r>
    </w:p>
    <w:p w14:paraId="75B1A1EE" w14:textId="731D7D22" w:rsidR="0045638B" w:rsidRPr="008F4E01" w:rsidRDefault="0045638B" w:rsidP="008F4E01">
      <w:pPr>
        <w:numPr>
          <w:ilvl w:val="0"/>
          <w:numId w:val="3"/>
        </w:numPr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Призери турніру </w:t>
      </w:r>
      <w:r w:rsidR="00CC379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визначаються окремо з математики та окремо з фізики, та 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нагороджуються грамотами.</w:t>
      </w:r>
    </w:p>
    <w:p w14:paraId="3A9E27F7" w14:textId="77777777" w:rsidR="0045638B" w:rsidRPr="008F4E01" w:rsidRDefault="0045638B" w:rsidP="008F4E01">
      <w:pPr>
        <w:numPr>
          <w:ilvl w:val="0"/>
          <w:numId w:val="3"/>
        </w:numPr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Переможці турніру можуть бути зараховані </w:t>
      </w:r>
      <w:r w:rsidR="008F4E01"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до 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багатопрофільного ліцею (математичний профіль) на пільгових умовах.</w:t>
      </w:r>
    </w:p>
    <w:p w14:paraId="606FF5FC" w14:textId="4D2C4393" w:rsidR="0045638B" w:rsidRDefault="0045638B" w:rsidP="009F59D7">
      <w:pPr>
        <w:numPr>
          <w:ilvl w:val="0"/>
          <w:numId w:val="3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Прізвища переможців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розміщ</w:t>
      </w:r>
      <w:r w:rsidR="00AB5A54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у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ють на сайті ліцею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14:paraId="423CBAC9" w14:textId="77777777" w:rsidR="0023334E" w:rsidRDefault="0023334E" w:rsidP="009F59D7">
      <w:pPr>
        <w:numPr>
          <w:ilvl w:val="0"/>
          <w:numId w:val="3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Усі учасники турніру можуть ознайомитися з правильними розв’язками запропонованих завдань після закінчення турніру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14:paraId="2ED67CA0" w14:textId="12A0969C" w:rsidR="0023334E" w:rsidRDefault="0023334E" w:rsidP="009F59D7">
      <w:pPr>
        <w:numPr>
          <w:ilvl w:val="0"/>
          <w:numId w:val="3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Учасники мають право на ознайомлення зі своїми результатами та</w:t>
      </w:r>
      <w:r w:rsidR="00CC379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на 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апеляцію своїх результатів у разі </w:t>
      </w:r>
      <w:r w:rsidR="00C041DB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незгоди з ними.</w:t>
      </w:r>
    </w:p>
    <w:p w14:paraId="7577C42A" w14:textId="758CA30C" w:rsidR="0023334E" w:rsidRPr="008F4E01" w:rsidRDefault="0023334E" w:rsidP="009F59D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lastRenderedPageBreak/>
        <w:t>І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en-US"/>
        </w:rPr>
        <w:t>V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.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 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Обов’язки 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учасників турніру</w:t>
      </w:r>
    </w:p>
    <w:p w14:paraId="0EAD6863" w14:textId="77777777" w:rsidR="0023334E" w:rsidRPr="0016448C" w:rsidRDefault="0023334E" w:rsidP="009F59D7">
      <w:pPr>
        <w:pStyle w:val="Odsekzoznamu"/>
        <w:numPr>
          <w:ilvl w:val="0"/>
          <w:numId w:val="6"/>
        </w:numPr>
        <w:tabs>
          <w:tab w:val="left" w:pos="9355"/>
        </w:tabs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16448C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Надання повної та достовірної інформації, необхідної для ідентифікації учас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ника під час виконання роботи (</w:t>
      </w:r>
      <w:r w:rsidRP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прізвище, ім’я, по батькові, електронна адреса</w:t>
      </w:r>
      <w:r w:rsidR="009F59D7" w:rsidRP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, клас і навчальний заклад, в якому навчається</w:t>
      </w:r>
      <w:r w:rsidRPr="0016448C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).</w:t>
      </w:r>
    </w:p>
    <w:p w14:paraId="2D8A4B73" w14:textId="77777777" w:rsidR="0023334E" w:rsidRPr="0016448C" w:rsidRDefault="0023334E" w:rsidP="009F59D7">
      <w:pPr>
        <w:pStyle w:val="Odsekzoznamu"/>
        <w:numPr>
          <w:ilvl w:val="0"/>
          <w:numId w:val="6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16448C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Коректна поведінка під час турніру та при листуванні з організаторами турніру.</w:t>
      </w:r>
    </w:p>
    <w:p w14:paraId="2D7D3812" w14:textId="77777777" w:rsidR="0023334E" w:rsidRPr="003B5230" w:rsidRDefault="0023334E" w:rsidP="009F59D7">
      <w:pPr>
        <w:pStyle w:val="Odsekzoznamu"/>
        <w:numPr>
          <w:ilvl w:val="0"/>
          <w:numId w:val="6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Академічна доброчесність під час виконання завдань турніру</w:t>
      </w:r>
      <w:r w:rsid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 </w:t>
      </w:r>
      <w:r w:rsidR="009F59D7" w:rsidRPr="009F59D7">
        <w:rPr>
          <w:rFonts w:ascii="Georgia" w:eastAsia="Times New Roman" w:hAnsi="Georgia" w:cs="Times New Roman"/>
          <w:i/>
          <w:color w:val="FF0000"/>
          <w:sz w:val="25"/>
          <w:szCs w:val="25"/>
          <w:lang w:val="uk-UA"/>
        </w:rPr>
        <w:t>(самостійність виконання завдань, недопущення плагіату)</w:t>
      </w:r>
      <w:r w:rsidR="003B5230" w:rsidRPr="009F59D7">
        <w:rPr>
          <w:rFonts w:ascii="Georgia" w:eastAsia="Times New Roman" w:hAnsi="Georgia" w:cs="Times New Roman"/>
          <w:i/>
          <w:color w:val="FF0000"/>
          <w:sz w:val="25"/>
          <w:szCs w:val="25"/>
          <w:lang w:val="uk-UA"/>
        </w:rPr>
        <w:t>.</w:t>
      </w:r>
    </w:p>
    <w:p w14:paraId="37DCD458" w14:textId="77777777" w:rsidR="0016448C" w:rsidRPr="008F4E01" w:rsidRDefault="0016448C" w:rsidP="009F59D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b/>
          <w:bCs/>
          <w:color w:val="444444"/>
          <w:sz w:val="25"/>
          <w:lang w:val="en-US"/>
        </w:rPr>
        <w:t>V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.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 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Права</w:t>
      </w:r>
      <w:r w:rsidR="009F59D7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 </w:t>
      </w:r>
      <w:r w:rsidR="00C041DB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та обов’язки 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організаторів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 турніру</w:t>
      </w:r>
    </w:p>
    <w:p w14:paraId="6161F56E" w14:textId="123DCF6D" w:rsidR="00C041DB" w:rsidRDefault="00C041DB" w:rsidP="009F59D7">
      <w:pPr>
        <w:pStyle w:val="Odsekzoznamu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Протягом тижня </w:t>
      </w:r>
      <w:r w:rsidR="007335B3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після </w:t>
      </w:r>
      <w:r w:rsidR="00D95452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проведення </w:t>
      </w:r>
      <w:r w:rsidR="007335B3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тур</w:t>
      </w:r>
      <w:r w:rsidR="00D95452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ніру</w:t>
      </w:r>
      <w:r w:rsidR="007335B3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перевірити усі роботи учасників та оголосити результати.</w:t>
      </w:r>
    </w:p>
    <w:p w14:paraId="06116E1B" w14:textId="04B7F760" w:rsidR="00C041DB" w:rsidRDefault="00C041DB" w:rsidP="009F59D7">
      <w:pPr>
        <w:pStyle w:val="Odsekzoznamu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Забезпечити учасникам можливість апеляції власних результатів</w:t>
      </w:r>
      <w:r w:rsidR="007335B3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протягом трьох днів після </w:t>
      </w:r>
      <w:r w:rsidR="000A2636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їх 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оголошення.</w:t>
      </w:r>
    </w:p>
    <w:p w14:paraId="65B9BFEC" w14:textId="77777777" w:rsidR="0016448C" w:rsidRPr="000D6721" w:rsidRDefault="0016448C" w:rsidP="009F59D7">
      <w:pPr>
        <w:pStyle w:val="Odsekzoznamu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0D672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В разі некоректної поведінки учасника турніру припинити листування та спілкування з ним.</w:t>
      </w:r>
    </w:p>
    <w:p w14:paraId="2204B0D4" w14:textId="77777777" w:rsidR="0016448C" w:rsidRPr="003B5230" w:rsidRDefault="0016448C" w:rsidP="009F59D7">
      <w:pPr>
        <w:pStyle w:val="Odsekzoznamu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У разі виявлення </w:t>
      </w:r>
      <w:r w:rsidR="000A2636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порушення </w:t>
      </w: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академічної доброчесності, анулювати результати учасника чи групи учасників, не з’ясовуючи пр</w:t>
      </w:r>
      <w:r w:rsid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ичин, хто з них в цьому винен</w:t>
      </w:r>
      <w:r w:rsidR="00B91F5E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. </w:t>
      </w:r>
      <w:r w:rsidR="00B91F5E" w:rsidRPr="00B91F5E">
        <w:rPr>
          <w:rFonts w:ascii="Georgia" w:eastAsia="Times New Roman" w:hAnsi="Georgia" w:cs="Times New Roman"/>
          <w:color w:val="444444"/>
          <w:sz w:val="28"/>
          <w:szCs w:val="28"/>
          <w:lang w:val="uk-UA"/>
        </w:rPr>
        <w:t xml:space="preserve">Рішення </w:t>
      </w:r>
      <w:r w:rsidR="00B91F5E" w:rsidRPr="00B9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позбавлення учня призових місць на турнірі </w:t>
      </w:r>
      <w:r w:rsidR="000A263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91F5E" w:rsidRPr="00B91F5E">
        <w:rPr>
          <w:rFonts w:ascii="Times New Roman" w:eastAsia="Times New Roman" w:hAnsi="Times New Roman" w:cs="Times New Roman"/>
          <w:sz w:val="28"/>
          <w:szCs w:val="28"/>
          <w:lang w:val="uk-UA"/>
        </w:rPr>
        <w:t>риймається оргкомітетом турніру</w:t>
      </w:r>
      <w:r w:rsidR="00B91F5E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 </w:t>
      </w:r>
      <w:r w:rsid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 (З</w:t>
      </w: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акон України про повну середню освіту, стаття </w:t>
      </w:r>
      <w:r w:rsidR="000D6721"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43)</w:t>
      </w:r>
    </w:p>
    <w:p w14:paraId="290084AB" w14:textId="77777777" w:rsidR="00B91F5E" w:rsidRDefault="00B91F5E" w:rsidP="000D672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3EE4AD2" w14:textId="77777777" w:rsidR="00B91F5E" w:rsidRDefault="00B91F5E" w:rsidP="000D672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ДЛЯ ДОВІДКИ</w:t>
      </w:r>
    </w:p>
    <w:p w14:paraId="37B924B2" w14:textId="77777777" w:rsidR="000D6721" w:rsidRPr="000D6721" w:rsidRDefault="000D6721" w:rsidP="000D672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Стаття 43. 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академічної доброчесності у сфері загальної середньої освіти</w:t>
      </w:r>
    </w:p>
    <w:p w14:paraId="54C1824D" w14:textId="77777777" w:rsidR="000D6721" w:rsidRPr="000D6721" w:rsidRDefault="000D6721" w:rsidP="000D6721">
      <w:pPr>
        <w:pStyle w:val="Odsekzoznamu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717"/>
      <w:bookmarkEnd w:id="1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Кожен учасник освітнього процесу зобов’язаний дотримуватися академічної доброчесності.</w:t>
      </w:r>
      <w:bookmarkStart w:id="2" w:name="n718"/>
      <w:bookmarkStart w:id="3" w:name="n719"/>
      <w:bookmarkEnd w:id="2"/>
      <w:bookmarkEnd w:id="3"/>
      <w:r w:rsidR="009F5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та інші педагогічні працівники закладу освіти забезпечують дотримання принципів академічної доброчесності відповідно до своєї компетенції.</w:t>
      </w:r>
    </w:p>
    <w:p w14:paraId="1EB0A24F" w14:textId="77777777" w:rsidR="000D6721" w:rsidRPr="000D6721" w:rsidRDefault="000D6721" w:rsidP="000D6721">
      <w:pPr>
        <w:pStyle w:val="Odsekzoznamu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n720"/>
      <w:bookmarkEnd w:id="4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Порушеннями академічної доброчесності у системі загальної середньої освіти є академічний плагіат, фабрикація, фальсифікація, списування, обман, хабарництво, необ’єктивне оцінювання, </w:t>
      </w:r>
      <w:bookmarkStart w:id="5" w:name="n721"/>
      <w:bookmarkEnd w:id="5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педагогічними працівниками та іншими особами допомоги учням під час проходження ними підсумкового оцінювання (семестрового та річного), державної підсумкової атестації, зовнішнього незалежного оцінювання, не передбаченої умовами та/або процедурами їх проходження;</w:t>
      </w:r>
      <w:bookmarkStart w:id="6" w:name="n722"/>
      <w:bookmarkEnd w:id="6"/>
      <w:r w:rsidR="000A2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учнем під час контрольних заходів непередбачених допоміжних матеріалів та/або технічних засобів;</w:t>
      </w:r>
      <w:bookmarkStart w:id="7" w:name="n723"/>
      <w:bookmarkEnd w:id="7"/>
      <w:r w:rsidR="000A2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проходження процедури оцінювання результатів навчання замість інших осіб;</w:t>
      </w:r>
    </w:p>
    <w:p w14:paraId="794F7E79" w14:textId="77777777" w:rsidR="000D6721" w:rsidRPr="000D6721" w:rsidRDefault="000D6721" w:rsidP="000D6721">
      <w:pPr>
        <w:pStyle w:val="Odsekzoznamu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n724"/>
      <w:bookmarkStart w:id="9" w:name="n725"/>
      <w:bookmarkStart w:id="10" w:name="n729"/>
      <w:bookmarkStart w:id="11" w:name="n733"/>
      <w:bookmarkEnd w:id="8"/>
      <w:bookmarkEnd w:id="9"/>
      <w:bookmarkEnd w:id="10"/>
      <w:bookmarkEnd w:id="11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За порушення академічної доброчесності до учня може бути застосовано такі види академічної відповідальності:</w:t>
      </w:r>
      <w:bookmarkStart w:id="12" w:name="n734"/>
      <w:bookmarkStart w:id="13" w:name="n738"/>
      <w:bookmarkEnd w:id="12"/>
      <w:bookmarkEnd w:id="13"/>
      <w:r w:rsidR="009F5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отриманих із порушеннями академічної доброчесності академічної стипендії, призових місць на учнівських змаганнях, турнірах, олімпіадах, конкурсах.</w:t>
      </w:r>
      <w:bookmarkStart w:id="14" w:name="n740"/>
      <w:bookmarkStart w:id="15" w:name="n741"/>
      <w:bookmarkEnd w:id="14"/>
      <w:bookmarkEnd w:id="15"/>
      <w:r w:rsidR="009F5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про позбавлення учня академічної стипендії, призових місць на учнівських змаганнях, турнірах, олімпіадах, конкурсах, отриманих із порушеннями академічної доброчесності, приймає орган (посадова особа), який їх надав (присвоїв) у порядку, визначеному законодавством.</w:t>
      </w:r>
    </w:p>
    <w:p w14:paraId="79B3D69F" w14:textId="77777777" w:rsidR="000D6721" w:rsidRPr="0016448C" w:rsidRDefault="000D6721" w:rsidP="0016448C">
      <w:pPr>
        <w:spacing w:after="180" w:line="240" w:lineRule="auto"/>
        <w:ind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</w:p>
    <w:sectPr w:rsidR="000D6721" w:rsidRPr="0016448C" w:rsidSect="0090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966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1F36"/>
    <w:multiLevelType w:val="multilevel"/>
    <w:tmpl w:val="9B48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A5DE9"/>
    <w:multiLevelType w:val="hybridMultilevel"/>
    <w:tmpl w:val="1890C094"/>
    <w:lvl w:ilvl="0" w:tplc="0764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E7D"/>
    <w:multiLevelType w:val="hybridMultilevel"/>
    <w:tmpl w:val="9D601918"/>
    <w:lvl w:ilvl="0" w:tplc="0764EFA2">
      <w:start w:val="1"/>
      <w:numFmt w:val="decimal"/>
      <w:lvlText w:val="%1."/>
      <w:lvlJc w:val="left"/>
      <w:pPr>
        <w:ind w:left="124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>
    <w:nsid w:val="1AD05D69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44EEC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B7803"/>
    <w:multiLevelType w:val="hybridMultilevel"/>
    <w:tmpl w:val="C76E5C5A"/>
    <w:lvl w:ilvl="0" w:tplc="0764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30A6"/>
    <w:multiLevelType w:val="hybridMultilevel"/>
    <w:tmpl w:val="CFEC44E6"/>
    <w:lvl w:ilvl="0" w:tplc="0764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BEC4E6B2">
      <w:numFmt w:val="bullet"/>
      <w:lvlText w:val="–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42CA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1449A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2F5B"/>
    <w:multiLevelType w:val="hybridMultilevel"/>
    <w:tmpl w:val="00762854"/>
    <w:lvl w:ilvl="0" w:tplc="B7001C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35EEB"/>
    <w:multiLevelType w:val="multilevel"/>
    <w:tmpl w:val="4CD4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B"/>
    <w:rsid w:val="000A2636"/>
    <w:rsid w:val="000B5CD3"/>
    <w:rsid w:val="000B6D97"/>
    <w:rsid w:val="000D6721"/>
    <w:rsid w:val="0016448C"/>
    <w:rsid w:val="0019270A"/>
    <w:rsid w:val="0023334E"/>
    <w:rsid w:val="00335876"/>
    <w:rsid w:val="00342CCE"/>
    <w:rsid w:val="003B5230"/>
    <w:rsid w:val="0045638B"/>
    <w:rsid w:val="005348DC"/>
    <w:rsid w:val="007335B3"/>
    <w:rsid w:val="007E0BE3"/>
    <w:rsid w:val="008F4E01"/>
    <w:rsid w:val="00905F6E"/>
    <w:rsid w:val="009F59D7"/>
    <w:rsid w:val="00A201BC"/>
    <w:rsid w:val="00AB5A54"/>
    <w:rsid w:val="00B91F5E"/>
    <w:rsid w:val="00BB478A"/>
    <w:rsid w:val="00BE2859"/>
    <w:rsid w:val="00C041DB"/>
    <w:rsid w:val="00CC3791"/>
    <w:rsid w:val="00D9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F98"/>
  <w15:docId w15:val="{BC9B12E2-FF31-4B49-9335-99D7B392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8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5638B"/>
    <w:rPr>
      <w:b/>
      <w:bCs/>
    </w:rPr>
  </w:style>
  <w:style w:type="paragraph" w:styleId="Odsekzoznamu">
    <w:name w:val="List Paragraph"/>
    <w:basedOn w:val="Normlny"/>
    <w:uiPriority w:val="34"/>
    <w:qFormat/>
    <w:rsid w:val="001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Skola</cp:lastModifiedBy>
  <cp:revision>2</cp:revision>
  <dcterms:created xsi:type="dcterms:W3CDTF">2023-02-26T18:52:00Z</dcterms:created>
  <dcterms:modified xsi:type="dcterms:W3CDTF">2023-02-26T18:52:00Z</dcterms:modified>
</cp:coreProperties>
</file>